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B4AA" w14:textId="77777777" w:rsidR="001959D6" w:rsidRPr="001959D6" w:rsidRDefault="001959D6" w:rsidP="001959D6">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1959D6">
        <w:rPr>
          <w:rFonts w:ascii="Verdana" w:eastAsia="Times New Roman" w:hAnsi="Verdana" w:cs="Times New Roman"/>
          <w:color w:val="CC3300"/>
          <w:kern w:val="36"/>
          <w:sz w:val="36"/>
          <w:szCs w:val="36"/>
          <w:lang w:eastAsia="fr-BE"/>
        </w:rPr>
        <w:t>Des besoins en investissements dans les mines sans précédent</w:t>
      </w:r>
    </w:p>
    <w:p w14:paraId="30B9C04A" w14:textId="77777777" w:rsidR="001959D6" w:rsidRPr="001959D6" w:rsidRDefault="001959D6" w:rsidP="001959D6">
      <w:pPr>
        <w:shd w:val="clear" w:color="auto" w:fill="FFFFFF"/>
        <w:spacing w:before="150" w:after="150" w:line="240" w:lineRule="auto"/>
        <w:outlineLvl w:val="1"/>
        <w:rPr>
          <w:rFonts w:ascii="Verdana" w:eastAsia="Times New Roman" w:hAnsi="Verdana" w:cs="Times New Roman"/>
          <w:color w:val="3E001F"/>
          <w:sz w:val="30"/>
          <w:szCs w:val="30"/>
          <w:lang w:eastAsia="fr-BE"/>
        </w:rPr>
      </w:pPr>
      <w:r w:rsidRPr="001959D6">
        <w:rPr>
          <w:rFonts w:ascii="Verdana" w:eastAsia="Times New Roman" w:hAnsi="Verdana" w:cs="Times New Roman"/>
          <w:color w:val="3E001F"/>
          <w:sz w:val="30"/>
          <w:szCs w:val="30"/>
          <w:lang w:eastAsia="fr-BE"/>
        </w:rPr>
        <w:t>Transition écologique</w:t>
      </w:r>
    </w:p>
    <w:p w14:paraId="2440A452" w14:textId="77777777" w:rsidR="001959D6" w:rsidRPr="001959D6" w:rsidRDefault="001959D6" w:rsidP="001959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1959D6">
        <w:rPr>
          <w:rFonts w:ascii="Verdana" w:eastAsia="Times New Roman" w:hAnsi="Verdana" w:cs="Times New Roman"/>
          <w:b/>
          <w:bCs/>
          <w:color w:val="000000"/>
          <w:sz w:val="23"/>
          <w:szCs w:val="23"/>
          <w:lang w:eastAsia="fr-BE"/>
        </w:rPr>
        <w:t>Les compagnies minières devront investir quelque 1,7 trillion de dollars au cours des quinze prochaines années afin de fournir les métaux de la transition écologique en quantité suffisante pour réduire les émissions de carbone, estime Wood Mackenzie.</w:t>
      </w:r>
    </w:p>
    <w:p w14:paraId="5EECB11C" w14:textId="77777777" w:rsidR="001959D6" w:rsidRPr="001959D6" w:rsidRDefault="001959D6" w:rsidP="001959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1959D6">
        <w:rPr>
          <w:rFonts w:ascii="Verdana" w:eastAsia="Times New Roman" w:hAnsi="Verdana" w:cs="Times New Roman"/>
          <w:color w:val="000000"/>
          <w:sz w:val="23"/>
          <w:szCs w:val="23"/>
          <w:lang w:eastAsia="fr-BE"/>
        </w:rPr>
        <w:t> </w:t>
      </w:r>
    </w:p>
    <w:p w14:paraId="3953586A" w14:textId="77777777" w:rsidR="001959D6" w:rsidRPr="001959D6" w:rsidRDefault="001959D6" w:rsidP="001959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1959D6">
        <w:rPr>
          <w:rFonts w:ascii="Verdana" w:eastAsia="Times New Roman" w:hAnsi="Verdana" w:cs="Times New Roman"/>
          <w:color w:val="000000"/>
          <w:sz w:val="23"/>
          <w:szCs w:val="23"/>
          <w:lang w:eastAsia="fr-BE"/>
        </w:rPr>
        <w:t>Les Etats-Unis, le Japon, la Grande Bretagne, le Canada, ainsi que bien d’autres pays, ont durci leurs objectifs de réduction d’émissions de carbone afin de limiter le réchauffement climatique à 2 degrés, lors d’un sommet organisé à l’initiative de Joe Biden, en avril.</w:t>
      </w:r>
    </w:p>
    <w:p w14:paraId="4D739ACC" w14:textId="77777777" w:rsidR="001959D6" w:rsidRPr="001959D6" w:rsidRDefault="001959D6" w:rsidP="001959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1959D6">
        <w:rPr>
          <w:rFonts w:ascii="Verdana" w:eastAsia="Times New Roman" w:hAnsi="Verdana" w:cs="Times New Roman"/>
          <w:color w:val="000000"/>
          <w:sz w:val="23"/>
          <w:szCs w:val="23"/>
          <w:lang w:eastAsia="fr-BE"/>
        </w:rPr>
        <w:t>Pour atteindre ces objectifs, il faudra déployer l’usage des véhicules électriques, des unités de stockage énergétiques pour les énergies renouvelables et la transmission électrique - des technologies qui nécessitent toutes des métaux tels que l’aluminium, le cuivre, le nickel, le cobalt ou encore le lithium.</w:t>
      </w:r>
    </w:p>
    <w:p w14:paraId="6706581A" w14:textId="77777777" w:rsidR="001959D6" w:rsidRPr="001959D6" w:rsidRDefault="001959D6" w:rsidP="001959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1959D6">
        <w:rPr>
          <w:rFonts w:ascii="Verdana" w:eastAsia="Times New Roman" w:hAnsi="Verdana" w:cs="Times New Roman"/>
          <w:color w:val="000000"/>
          <w:sz w:val="23"/>
          <w:szCs w:val="23"/>
          <w:lang w:eastAsia="fr-BE"/>
        </w:rPr>
        <w:t>Mais au regard de leur expérience vécue lors du précédent cycle haussier, «</w:t>
      </w:r>
      <w:r w:rsidRPr="001959D6">
        <w:rPr>
          <w:rFonts w:ascii="Verdana" w:eastAsia="Times New Roman" w:hAnsi="Verdana" w:cs="Times New Roman"/>
          <w:i/>
          <w:iCs/>
          <w:color w:val="000000"/>
          <w:sz w:val="23"/>
          <w:szCs w:val="23"/>
          <w:lang w:eastAsia="fr-BE"/>
        </w:rPr>
        <w:t xml:space="preserve"> les </w:t>
      </w:r>
      <w:proofErr w:type="gramStart"/>
      <w:r w:rsidRPr="001959D6">
        <w:rPr>
          <w:rFonts w:ascii="Verdana" w:eastAsia="Times New Roman" w:hAnsi="Verdana" w:cs="Times New Roman"/>
          <w:i/>
          <w:iCs/>
          <w:color w:val="000000"/>
          <w:sz w:val="23"/>
          <w:szCs w:val="23"/>
          <w:lang w:eastAsia="fr-BE"/>
        </w:rPr>
        <w:t>industries</w:t>
      </w:r>
      <w:proofErr w:type="gramEnd"/>
      <w:r w:rsidRPr="001959D6">
        <w:rPr>
          <w:rFonts w:ascii="Verdana" w:eastAsia="Times New Roman" w:hAnsi="Verdana" w:cs="Times New Roman"/>
          <w:i/>
          <w:iCs/>
          <w:color w:val="000000"/>
          <w:sz w:val="23"/>
          <w:szCs w:val="23"/>
          <w:lang w:eastAsia="fr-BE"/>
        </w:rPr>
        <w:t xml:space="preserve"> rechignent à investir aux niveaux requis pour accroître l’offre en métaux à l’échelle et au rythme requis pour la transition écologique</w:t>
      </w:r>
      <w:r w:rsidRPr="001959D6">
        <w:rPr>
          <w:rFonts w:ascii="Verdana" w:eastAsia="Times New Roman" w:hAnsi="Verdana" w:cs="Times New Roman"/>
          <w:color w:val="000000"/>
          <w:sz w:val="23"/>
          <w:szCs w:val="23"/>
          <w:lang w:eastAsia="fr-BE"/>
        </w:rPr>
        <w:t> », constate le cabinet de conseil. Elles avaient investi au moment où la demande augmentait, ce qui avait entraîné une chute des cours et de leurs revenus. Elles vont devoir en outre supplier des investisseurs qui ne veulent pas que leurs dividendes se transforment en dépenses...</w:t>
      </w:r>
    </w:p>
    <w:p w14:paraId="796ECF09" w14:textId="77777777" w:rsidR="001959D6" w:rsidRPr="001959D6" w:rsidRDefault="001959D6" w:rsidP="001959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1959D6">
        <w:rPr>
          <w:rFonts w:ascii="Verdana" w:eastAsia="Times New Roman" w:hAnsi="Verdana" w:cs="Times New Roman"/>
          <w:color w:val="000000"/>
          <w:sz w:val="23"/>
          <w:szCs w:val="23"/>
          <w:lang w:eastAsia="fr-BE"/>
        </w:rPr>
        <w:t xml:space="preserve">En outre, l’augmentation de la demande en investissement social et responsable (ISR) ajoute encore au défi, mais ce dernier est relativement limité pour l’Europe de l’Ouest, le Canada et l’Australie. Il est en revanche beaucoup plus élevé pour des pays tels que la République Démocratique du Congo, qui dispose de près de la moitié des ressources mondiales en cobalt, selon </w:t>
      </w:r>
      <w:proofErr w:type="spellStart"/>
      <w:r w:rsidRPr="001959D6">
        <w:rPr>
          <w:rFonts w:ascii="Verdana" w:eastAsia="Times New Roman" w:hAnsi="Verdana" w:cs="Times New Roman"/>
          <w:color w:val="000000"/>
          <w:sz w:val="23"/>
          <w:szCs w:val="23"/>
          <w:lang w:eastAsia="fr-BE"/>
        </w:rPr>
        <w:t>Geological</w:t>
      </w:r>
      <w:proofErr w:type="spellEnd"/>
      <w:r w:rsidRPr="001959D6">
        <w:rPr>
          <w:rFonts w:ascii="Verdana" w:eastAsia="Times New Roman" w:hAnsi="Verdana" w:cs="Times New Roman"/>
          <w:color w:val="000000"/>
          <w:sz w:val="23"/>
          <w:szCs w:val="23"/>
          <w:lang w:eastAsia="fr-BE"/>
        </w:rPr>
        <w:t xml:space="preserve"> Survey.</w:t>
      </w:r>
    </w:p>
    <w:p w14:paraId="2B097432" w14:textId="77777777" w:rsidR="001959D6" w:rsidRPr="001959D6" w:rsidRDefault="001959D6" w:rsidP="001959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1959D6">
        <w:rPr>
          <w:rFonts w:ascii="Verdana" w:eastAsia="Times New Roman" w:hAnsi="Verdana" w:cs="Times New Roman"/>
          <w:color w:val="000000"/>
          <w:sz w:val="23"/>
          <w:szCs w:val="23"/>
          <w:lang w:eastAsia="fr-BE"/>
        </w:rPr>
        <w:t xml:space="preserve">Les gouvernements vont devoir aider les producteurs miniers à traiter la question de l’ISR pour garantir que </w:t>
      </w:r>
      <w:proofErr w:type="gramStart"/>
      <w:r w:rsidRPr="001959D6">
        <w:rPr>
          <w:rFonts w:ascii="Verdana" w:eastAsia="Times New Roman" w:hAnsi="Verdana" w:cs="Times New Roman"/>
          <w:color w:val="000000"/>
          <w:sz w:val="23"/>
          <w:szCs w:val="23"/>
          <w:lang w:eastAsia="fr-BE"/>
        </w:rPr>
        <w:t>les métaux issues</w:t>
      </w:r>
      <w:proofErr w:type="gramEnd"/>
      <w:r w:rsidRPr="001959D6">
        <w:rPr>
          <w:rFonts w:ascii="Verdana" w:eastAsia="Times New Roman" w:hAnsi="Verdana" w:cs="Times New Roman"/>
          <w:color w:val="000000"/>
          <w:sz w:val="23"/>
          <w:szCs w:val="23"/>
          <w:lang w:eastAsia="fr-BE"/>
        </w:rPr>
        <w:t xml:space="preserve"> de zones géographiques à haut risque soient produits de manière suffisamment acceptable aux yeux des consommateurs. « </w:t>
      </w:r>
      <w:r w:rsidRPr="001959D6">
        <w:rPr>
          <w:rFonts w:ascii="Verdana" w:eastAsia="Times New Roman" w:hAnsi="Verdana" w:cs="Times New Roman"/>
          <w:i/>
          <w:iCs/>
          <w:color w:val="000000"/>
          <w:sz w:val="23"/>
          <w:szCs w:val="23"/>
          <w:lang w:eastAsia="fr-BE"/>
        </w:rPr>
        <w:t>Compte tenu de la nécessité d'atteindre les objectifs stricts de décarbonation et d'ISR, les gouvernements occidentaux, les prêteurs, les investisseurs et les consommateurs vont devoir se familiariser avec le sujet complexe de l’ISR. L’Occident ne sera en mesure d’obtenir les volumes de métaux nécessaires à la transition écologique dans les délais envisagés qu’à partir du moment où il se sera conformé aux exigences de l’ISR</w:t>
      </w:r>
      <w:r w:rsidRPr="001959D6">
        <w:rPr>
          <w:rFonts w:ascii="Verdana" w:eastAsia="Times New Roman" w:hAnsi="Verdana" w:cs="Times New Roman"/>
          <w:color w:val="000000"/>
          <w:sz w:val="23"/>
          <w:szCs w:val="23"/>
          <w:lang w:eastAsia="fr-BE"/>
        </w:rPr>
        <w:t> », indique Mackenzie.</w:t>
      </w:r>
    </w:p>
    <w:p w14:paraId="24BB799B" w14:textId="77777777" w:rsidR="001959D6" w:rsidRPr="001959D6" w:rsidRDefault="001959D6" w:rsidP="001959D6">
      <w:pPr>
        <w:shd w:val="clear" w:color="auto" w:fill="FFFFFF"/>
        <w:spacing w:before="75" w:after="75" w:line="240" w:lineRule="auto"/>
        <w:jc w:val="both"/>
        <w:rPr>
          <w:rFonts w:ascii="Verdana" w:eastAsia="Times New Roman" w:hAnsi="Verdana" w:cs="Times New Roman"/>
          <w:color w:val="000000"/>
          <w:sz w:val="23"/>
          <w:szCs w:val="23"/>
          <w:lang w:eastAsia="fr-BE"/>
        </w:rPr>
      </w:pPr>
      <w:r w:rsidRPr="001959D6">
        <w:rPr>
          <w:rFonts w:ascii="Verdana" w:eastAsia="Times New Roman" w:hAnsi="Verdana" w:cs="Times New Roman"/>
          <w:color w:val="000000"/>
          <w:sz w:val="23"/>
          <w:szCs w:val="23"/>
          <w:lang w:eastAsia="fr-BE"/>
        </w:rPr>
        <w:t> </w:t>
      </w:r>
    </w:p>
    <w:p w14:paraId="2FD11A68" w14:textId="77777777" w:rsidR="00B53F4E" w:rsidRDefault="00B53F4E"/>
    <w:sectPr w:rsidR="00B53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D6"/>
    <w:rsid w:val="001959D6"/>
    <w:rsid w:val="00B53F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0314"/>
  <w15:chartTrackingRefBased/>
  <w15:docId w15:val="{2DA1F7C0-5BF7-4BBC-A8CD-10E90F8A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2129</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2021-05-19T06:59:00Z</dcterms:created>
  <dcterms:modified xsi:type="dcterms:W3CDTF">2021-05-19T06:59:00Z</dcterms:modified>
</cp:coreProperties>
</file>